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518"/>
        <w:gridCol w:w="3963"/>
      </w:tblGrid>
      <w:tr w:rsidR="005563C0" w:rsidRPr="003C36D6" w14:paraId="7660F168" w14:textId="77777777" w:rsidTr="007C40D5">
        <w:trPr>
          <w:trHeight w:val="1305"/>
        </w:trPr>
        <w:tc>
          <w:tcPr>
            <w:tcW w:w="4253" w:type="dxa"/>
          </w:tcPr>
          <w:p w14:paraId="35D9D95E" w14:textId="77777777" w:rsidR="005563C0" w:rsidRPr="003C36D6" w:rsidRDefault="005563C0" w:rsidP="007C40D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1518" w:type="dxa"/>
            <w:hideMark/>
          </w:tcPr>
          <w:p w14:paraId="0174C045" w14:textId="77777777" w:rsidR="005563C0" w:rsidRPr="003C36D6" w:rsidRDefault="005563C0" w:rsidP="007C40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6D6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B93C78" wp14:editId="06A9A715">
                  <wp:extent cx="771525" cy="695325"/>
                  <wp:effectExtent l="0" t="0" r="9525" b="9525"/>
                  <wp:docPr id="2045095827" name="Рисунок 2045095827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14:paraId="7700D7BA" w14:textId="77777777" w:rsidR="005563C0" w:rsidRPr="003C36D6" w:rsidRDefault="005563C0" w:rsidP="007C4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001A0B4F" w14:textId="77777777" w:rsidR="005563C0" w:rsidRPr="003C36D6" w:rsidRDefault="00000000" w:rsidP="005563C0">
      <w:pPr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Theme="minorEastAsia" w:hAnsi="Times New Roman"/>
          <w:sz w:val="24"/>
          <w:szCs w:val="24"/>
          <w:lang w:val="en-US" w:eastAsia="ru-RU"/>
        </w:rPr>
        <w:pict w14:anchorId="4AF86224">
          <v:rect id="_x0000_i1025" style="width:462.6pt;height:3.25pt;flip:y" o:hrpct="989" o:hrstd="t" o:hrnoshade="t" o:hr="t" fillcolor="black" stroked="f"/>
        </w:pict>
      </w:r>
    </w:p>
    <w:p w14:paraId="0230982A" w14:textId="77777777" w:rsidR="005563C0" w:rsidRPr="00113BB3" w:rsidRDefault="005563C0" w:rsidP="005563C0">
      <w:pPr>
        <w:jc w:val="center"/>
        <w:rPr>
          <w:rFonts w:ascii="Times New Roman" w:eastAsiaTheme="minorEastAsia" w:hAnsi="Times New Roman" w:cs="Times New Roman"/>
          <w:b/>
          <w:sz w:val="25"/>
          <w:szCs w:val="25"/>
          <w:lang w:val="kk-KZ" w:eastAsia="ru-RU"/>
        </w:rPr>
      </w:pPr>
      <w:r w:rsidRPr="003C36D6">
        <w:rPr>
          <w:rFonts w:ascii="Times New Roman" w:eastAsiaTheme="minorEastAsia" w:hAnsi="Times New Roman" w:cs="Times New Roman"/>
          <w:b/>
          <w:sz w:val="25"/>
          <w:szCs w:val="25"/>
          <w:lang w:val="ky-KG" w:eastAsia="ru-RU"/>
        </w:rPr>
        <w:t>А</w:t>
      </w:r>
      <w:r>
        <w:rPr>
          <w:rFonts w:ascii="Times New Roman" w:eastAsiaTheme="minorEastAsia" w:hAnsi="Times New Roman" w:cs="Times New Roman"/>
          <w:b/>
          <w:sz w:val="25"/>
          <w:szCs w:val="25"/>
          <w:lang w:val="ky-KG" w:eastAsia="ru-RU"/>
        </w:rPr>
        <w:t>.Мирмахмудов айылдык  кеңештин</w:t>
      </w:r>
    </w:p>
    <w:p w14:paraId="43CC42B7" w14:textId="64844929" w:rsidR="005563C0" w:rsidRDefault="005563C0" w:rsidP="00B40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3C36D6">
        <w:rPr>
          <w:rFonts w:ascii="Times New Roman" w:eastAsiaTheme="minorEastAsia" w:hAnsi="Times New Roman" w:cs="Times New Roman"/>
          <w:b/>
          <w:lang w:val="ky-KG" w:eastAsia="ru-RU"/>
        </w:rPr>
        <w:t>Т</w:t>
      </w:r>
      <w:r>
        <w:rPr>
          <w:rFonts w:ascii="Times New Roman" w:eastAsiaTheme="minorEastAsia" w:hAnsi="Times New Roman" w:cs="Times New Roman"/>
          <w:b/>
          <w:lang w:val="ky-KG" w:eastAsia="ru-RU"/>
        </w:rPr>
        <w:t>ОКТОМУ</w:t>
      </w:r>
      <w:r w:rsidRPr="003C36D6">
        <w:rPr>
          <w:rFonts w:ascii="Times New Roman" w:eastAsiaTheme="minorEastAsia" w:hAnsi="Times New Roman" w:cs="Times New Roman"/>
          <w:b/>
          <w:lang w:val="ky-KG" w:eastAsia="ru-RU"/>
        </w:rPr>
        <w:t xml:space="preserve">  № </w:t>
      </w:r>
      <w:r>
        <w:rPr>
          <w:rFonts w:ascii="Times New Roman" w:eastAsiaTheme="minorEastAsia" w:hAnsi="Times New Roman" w:cs="Times New Roman"/>
          <w:b/>
          <w:lang w:val="ky-KG" w:eastAsia="ru-RU"/>
        </w:rPr>
        <w:t xml:space="preserve"> 12-3</w:t>
      </w:r>
      <w:r w:rsidRPr="003C36D6">
        <w:rPr>
          <w:rFonts w:ascii="Times New Roman" w:eastAsiaTheme="minorEastAsia" w:hAnsi="Times New Roman" w:cs="Times New Roman"/>
          <w:lang w:val="ky-KG" w:eastAsia="ru-RU"/>
        </w:rPr>
        <w:t xml:space="preserve">  </w:t>
      </w:r>
    </w:p>
    <w:p w14:paraId="0E282E3A" w14:textId="77777777" w:rsidR="005563C0" w:rsidRPr="003C36D6" w:rsidRDefault="005563C0" w:rsidP="005563C0">
      <w:pPr>
        <w:spacing w:after="0" w:line="240" w:lineRule="auto"/>
        <w:rPr>
          <w:rFonts w:ascii="Times New Roman" w:eastAsiaTheme="minorEastAsia" w:hAnsi="Times New Roman" w:cs="Times New Roman"/>
          <w:lang w:val="ky-KG" w:eastAsia="ru-RU"/>
        </w:rPr>
      </w:pPr>
      <w:r w:rsidRPr="003C36D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</w:t>
      </w:r>
      <w:r w:rsidRPr="003C36D6">
        <w:rPr>
          <w:rFonts w:ascii="Times New Roman" w:eastAsiaTheme="minorEastAsia" w:hAnsi="Times New Roman" w:cs="Times New Roman"/>
          <w:lang w:val="ky-KG" w:eastAsia="ru-RU"/>
        </w:rPr>
        <w:t xml:space="preserve">                                                    </w:t>
      </w:r>
    </w:p>
    <w:p w14:paraId="36822AA8" w14:textId="77777777" w:rsidR="005563C0" w:rsidRDefault="005563C0" w:rsidP="005563C0">
      <w:pPr>
        <w:spacing w:after="0" w:line="237" w:lineRule="auto"/>
        <w:ind w:right="807"/>
        <w:rPr>
          <w:rFonts w:ascii="Times New Roman" w:eastAsiaTheme="minorEastAsia" w:hAnsi="Times New Roman" w:cs="Times New Roman"/>
          <w:lang w:val="ky-KG" w:eastAsia="ru-RU"/>
        </w:rPr>
      </w:pPr>
      <w:r>
        <w:rPr>
          <w:rFonts w:ascii="Times New Roman" w:eastAsiaTheme="minorEastAsia" w:hAnsi="Times New Roman" w:cs="Times New Roman"/>
          <w:lang w:val="ky-KG" w:eastAsia="ru-RU"/>
        </w:rPr>
        <w:t>20</w:t>
      </w:r>
      <w:r w:rsidRPr="003C36D6">
        <w:rPr>
          <w:rFonts w:ascii="Times New Roman" w:eastAsiaTheme="minorEastAsia" w:hAnsi="Times New Roman" w:cs="Times New Roman"/>
          <w:lang w:val="ky-KG" w:eastAsia="ru-RU"/>
        </w:rPr>
        <w:t>.1</w:t>
      </w:r>
      <w:r>
        <w:rPr>
          <w:rFonts w:ascii="Times New Roman" w:eastAsiaTheme="minorEastAsia" w:hAnsi="Times New Roman" w:cs="Times New Roman"/>
          <w:lang w:val="ky-KG" w:eastAsia="ru-RU"/>
        </w:rPr>
        <w:t>1</w:t>
      </w:r>
      <w:r w:rsidRPr="003C36D6">
        <w:rPr>
          <w:rFonts w:ascii="Times New Roman" w:eastAsiaTheme="minorEastAsia" w:hAnsi="Times New Roman" w:cs="Times New Roman"/>
          <w:lang w:val="ky-KG" w:eastAsia="ru-RU"/>
        </w:rPr>
        <w:t>. 202</w:t>
      </w:r>
      <w:r>
        <w:rPr>
          <w:rFonts w:ascii="Times New Roman" w:eastAsiaTheme="minorEastAsia" w:hAnsi="Times New Roman" w:cs="Times New Roman"/>
          <w:lang w:val="ky-KG" w:eastAsia="ru-RU"/>
        </w:rPr>
        <w:t>5</w:t>
      </w:r>
      <w:r w:rsidRPr="003C36D6">
        <w:rPr>
          <w:rFonts w:ascii="Times New Roman" w:eastAsiaTheme="minorEastAsia" w:hAnsi="Times New Roman" w:cs="Times New Roman"/>
          <w:lang w:val="kk-KZ" w:eastAsia="ru-RU"/>
        </w:rPr>
        <w:t>.</w:t>
      </w:r>
      <w:r w:rsidRPr="003C36D6">
        <w:rPr>
          <w:rFonts w:ascii="Times New Roman" w:eastAsiaTheme="minorEastAsia" w:hAnsi="Times New Roman" w:cs="Times New Roman"/>
          <w:lang w:val="ky-KG" w:eastAsia="ru-RU"/>
        </w:rPr>
        <w:t xml:space="preserve">                                                                                                            Чапаев  айылы</w:t>
      </w:r>
    </w:p>
    <w:p w14:paraId="3AAB42BA" w14:textId="77777777" w:rsidR="005563C0" w:rsidRDefault="005563C0" w:rsidP="005563C0">
      <w:pPr>
        <w:spacing w:after="0" w:line="237" w:lineRule="auto"/>
        <w:ind w:right="807"/>
        <w:rPr>
          <w:rFonts w:ascii="Times New Roman" w:eastAsiaTheme="minorEastAsia" w:hAnsi="Times New Roman" w:cs="Times New Roman"/>
          <w:lang w:val="ky-KG" w:eastAsia="ru-RU"/>
        </w:rPr>
      </w:pPr>
    </w:p>
    <w:p w14:paraId="572BAF4A" w14:textId="79E9B61A" w:rsidR="005563C0" w:rsidRPr="0077516B" w:rsidRDefault="005563C0" w:rsidP="005563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7516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А.Мирмахмудов атындагы айыл аймсагында жайгашкан «Аралаш базары» жоопкерчилиги чектелген коомунун 14276,28ч.м жер аянты айыл өкмөтүнө кайтарылгандыгы себептүү </w:t>
      </w:r>
      <w:r w:rsidR="009A5E0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айыл өкмөтүнүн </w:t>
      </w:r>
      <w:r w:rsidRPr="0077516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муниципалдык баланс</w:t>
      </w:r>
      <w:r w:rsidR="009A5E0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ына</w:t>
      </w:r>
      <w:r w:rsidRPr="0077516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алуу жөнүндө.</w:t>
      </w:r>
    </w:p>
    <w:p w14:paraId="41F07BEE" w14:textId="2A4A6D9B" w:rsidR="005563C0" w:rsidRPr="00251D11" w:rsidRDefault="005563C0" w:rsidP="005563C0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Pr="00251D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А.Мирмахмудов атындагы айыл аймагында жайгашкан «Аралаш базары»  жоопкерчилиги чектелген коомунун аймагынан 14276,28ч.м жер аянты А.Мирмахмудов атындагы айыл өкмөтүнө </w:t>
      </w:r>
      <w:r w:rsidR="009A5E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51D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кайтарылгандыгы себептүү, айыл өкмөтүнүн муниципалдык менчигине алуу тууралу айыл өкмөтү тарабынан берилген   2025-жылдын 14-ноябрындагы №13 сандуу катын карап жана талкуулап, айыл өкмөтүнүн муниципалдык менчиктер реестрине киргизүү жөнүндө маселе каралды. Кыргыз Республикасынын «Жергиликтүү мамлекеттик администрациясы жана жергиликтүү өз алдынча башкаруу органдары жөнүндөгү» мыйзамынын </w:t>
      </w:r>
      <w:r w:rsidR="009A5E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27-беренесинин 2-бөлүмүнө  жана</w:t>
      </w:r>
      <w:r w:rsidRPr="00251D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2025-жылдын 5-ноябрындагы «Аралаш базары» ЖЧКсы жана А.Мирмахмудов атындагы айыл өкмөтү тарабынан «Кыймылсыз мүлктү ыктыярдуу жана акысыз мамлекеттин менчигине өткөрүп берүү» келишиминин негизинде А.Мирмахмудов айылдык кеңеши </w:t>
      </w:r>
    </w:p>
    <w:p w14:paraId="41CF2F54" w14:textId="77777777" w:rsidR="005563C0" w:rsidRPr="00251D11" w:rsidRDefault="005563C0" w:rsidP="005563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51D1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 О К Т О М  К Ы Л А Т</w:t>
      </w:r>
    </w:p>
    <w:p w14:paraId="44578980" w14:textId="57583ABF" w:rsidR="005563C0" w:rsidRPr="00251D11" w:rsidRDefault="00B40508" w:rsidP="005563C0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51D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Кыргыз Республикасынын «Жергиликтүү мамлекеттик администрациясы жана жергиликтүү өз алдынча башкаруу органдары жөнүндөгү» мыйзамынын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27-беренесинин 2-бөлүмүнө  жана</w:t>
      </w:r>
      <w:r w:rsidRPr="00251D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563C0" w:rsidRPr="00251D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«Аралаш базары» жоопкерчилиги чектелген коому жана А.Мирмахмудов атындагы айыл өкмөтү тарабынан 2025-жылдын 5-ноя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r w:rsidR="005563C0" w:rsidRPr="00251D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рындагы «Кыймылсыз мүлктү ыктыярдуу жана акысыз мамлекеттин менчигине өткөрүп берүү» келишими жактырылып, келишимиде көрсөтүлгөн 14276,28ч.м жер аянты айыл өкмөтүнүн муниципалдык менчиктер реестрине катт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оого алуу жактырылсын.  </w:t>
      </w:r>
      <w:r w:rsidR="005563C0" w:rsidRPr="00251D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A5E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6D42C120" w14:textId="01E392A1" w:rsidR="005563C0" w:rsidRPr="00251D11" w:rsidRDefault="005563C0" w:rsidP="00B40508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51D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Муниципалдык менчикке алынган кыймылсыз мүлк Кыргыз Республикасынын «Мүлккө муниципалдык менчик жөнүндө» мыйзамынын </w:t>
      </w:r>
      <w:r w:rsidR="00B405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3-, 6-, 11-беренелеринин негизинде пайдалан</w:t>
      </w:r>
      <w:r w:rsidR="00B405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уу </w:t>
      </w:r>
      <w:r w:rsidRPr="00251D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А.Мирмахмудов атындагы айыл өкмөт башчысы М.Нурматовго милдеттендирилсин.</w:t>
      </w:r>
    </w:p>
    <w:p w14:paraId="34F7C95C" w14:textId="77777777" w:rsidR="005563C0" w:rsidRPr="00251D11" w:rsidRDefault="005563C0" w:rsidP="00B40508">
      <w:pPr>
        <w:pStyle w:val="ad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51D11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 xml:space="preserve">Токтомдун аткарылышын көзөмөлдөө жагы айылдык кеңешинин </w:t>
      </w:r>
      <w:r w:rsidRPr="00251D11">
        <w:rPr>
          <w:rFonts w:ascii="Times New Roman" w:hAnsi="Times New Roman" w:cs="Times New Roman"/>
          <w:sz w:val="24"/>
          <w:szCs w:val="24"/>
          <w:lang w:val="kk-KZ"/>
        </w:rPr>
        <w:t>«Экономика, бюджет, муниципалдык менчик, инвестиция, ишкердик жана тышкы экономика»  боюнч туруктуу комиссиясына тапшырылсын.</w:t>
      </w:r>
    </w:p>
    <w:p w14:paraId="55EF9DC4" w14:textId="77777777" w:rsidR="00B40508" w:rsidRDefault="00B40508" w:rsidP="005563C0">
      <w:pPr>
        <w:tabs>
          <w:tab w:val="left" w:pos="2730"/>
        </w:tabs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6208051E" w14:textId="2DE21941" w:rsidR="005563C0" w:rsidRPr="00251D11" w:rsidRDefault="005563C0" w:rsidP="005563C0">
      <w:pPr>
        <w:tabs>
          <w:tab w:val="left" w:pos="2730"/>
        </w:tabs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251D1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Төрага                                                                    Ч.Самиев</w:t>
      </w:r>
    </w:p>
    <w:p w14:paraId="2FA98A77" w14:textId="77777777" w:rsidR="00CD40AC" w:rsidRDefault="00CD40AC"/>
    <w:sectPr w:rsidR="00CD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15221"/>
    <w:multiLevelType w:val="hybridMultilevel"/>
    <w:tmpl w:val="5F780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20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AC"/>
    <w:rsid w:val="0006785D"/>
    <w:rsid w:val="005563C0"/>
    <w:rsid w:val="0073541A"/>
    <w:rsid w:val="009A5E07"/>
    <w:rsid w:val="00B40508"/>
    <w:rsid w:val="00C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38FD"/>
  <w15:chartTrackingRefBased/>
  <w15:docId w15:val="{6F920CC0-0D86-42CB-A1AA-9FA0B8F1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3C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4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0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0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4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4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40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40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40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40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40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40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4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4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4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4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40AC"/>
    <w:rPr>
      <w:i/>
      <w:iCs/>
      <w:color w:val="404040" w:themeColor="text1" w:themeTint="BF"/>
    </w:rPr>
  </w:style>
  <w:style w:type="paragraph" w:styleId="a7">
    <w:name w:val="List Paragraph"/>
    <w:aliases w:val="AB List 1,Bullet Points,List Paragraph-ExecSummary,Абзац списка1"/>
    <w:basedOn w:val="a"/>
    <w:link w:val="a8"/>
    <w:uiPriority w:val="34"/>
    <w:qFormat/>
    <w:rsid w:val="00CD40A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D40A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D4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D40A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D40AC"/>
    <w:rPr>
      <w:b/>
      <w:bCs/>
      <w:smallCaps/>
      <w:color w:val="2F5496" w:themeColor="accent1" w:themeShade="BF"/>
      <w:spacing w:val="5"/>
    </w:rPr>
  </w:style>
  <w:style w:type="paragraph" w:styleId="ad">
    <w:name w:val="Body Text Indent"/>
    <w:basedOn w:val="a"/>
    <w:link w:val="ae"/>
    <w:uiPriority w:val="99"/>
    <w:unhideWhenUsed/>
    <w:rsid w:val="005563C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5563C0"/>
    <w:rPr>
      <w:kern w:val="0"/>
      <w:sz w:val="22"/>
      <w:szCs w:val="22"/>
      <w14:ligatures w14:val="none"/>
    </w:rPr>
  </w:style>
  <w:style w:type="character" w:customStyle="1" w:styleId="a8">
    <w:name w:val="Абзац списка Знак"/>
    <w:aliases w:val="AB List 1 Знак,Bullet Points Знак,List Paragraph-ExecSummary Знак,Абзац списка1 Знак"/>
    <w:link w:val="a7"/>
    <w:uiPriority w:val="34"/>
    <w:qFormat/>
    <w:locked/>
    <w:rsid w:val="00556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2026-01-22T07:06:00Z</dcterms:created>
  <dcterms:modified xsi:type="dcterms:W3CDTF">2026-01-22T11:22:00Z</dcterms:modified>
</cp:coreProperties>
</file>